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46BC" w14:textId="619A9B56" w:rsidR="007D16A2" w:rsidRPr="00A07181" w:rsidRDefault="00A07181" w:rsidP="00A07181">
      <w:pPr>
        <w:jc w:val="center"/>
        <w:rPr>
          <w:b/>
          <w:bCs/>
          <w:color w:val="FF0000"/>
          <w:u w:val="single"/>
        </w:rPr>
      </w:pPr>
      <w:r w:rsidRPr="00A07181">
        <w:rPr>
          <w:b/>
          <w:bCs/>
          <w:color w:val="FF0000"/>
          <w:u w:val="single"/>
        </w:rPr>
        <w:t>OBYVATELSTVO EVROPY, PŘIROZENÝ POHYB OBYVATELSTVA</w:t>
      </w:r>
    </w:p>
    <w:p w14:paraId="03461095" w14:textId="26C3924F" w:rsidR="00A07181" w:rsidRDefault="00A07181" w:rsidP="00A07181">
      <w:pPr>
        <w:rPr>
          <w:b/>
          <w:bCs/>
        </w:rPr>
      </w:pPr>
    </w:p>
    <w:p w14:paraId="37D0ACAD" w14:textId="2AAB4752" w:rsidR="00A07181" w:rsidRPr="00D276DE" w:rsidRDefault="00A07181" w:rsidP="00A07181">
      <w:pPr>
        <w:rPr>
          <w:color w:val="00B050"/>
        </w:rPr>
      </w:pPr>
      <w:r w:rsidRPr="00D276DE">
        <w:rPr>
          <w:b/>
          <w:bCs/>
          <w:color w:val="00B050"/>
        </w:rPr>
        <w:t>POČET OBYVATEL</w:t>
      </w:r>
    </w:p>
    <w:p w14:paraId="07DBED48" w14:textId="356156C0" w:rsidR="00A07181" w:rsidRDefault="00A07181" w:rsidP="00A07181">
      <w:pPr>
        <w:pStyle w:val="Odstavecseseznamem"/>
        <w:numPr>
          <w:ilvl w:val="0"/>
          <w:numId w:val="1"/>
        </w:numPr>
      </w:pPr>
      <w:r>
        <w:t>Na Zemi žije k 15. 11. 2022 více než 8 miliard (nejlidnatější světadíly – Asie a Afrika)</w:t>
      </w:r>
    </w:p>
    <w:p w14:paraId="00D64022" w14:textId="337A8F70" w:rsidR="00A07181" w:rsidRDefault="00A07181" w:rsidP="00A07181">
      <w:pPr>
        <w:pStyle w:val="Odstavecseseznamem"/>
        <w:numPr>
          <w:ilvl w:val="0"/>
          <w:numId w:val="1"/>
        </w:numPr>
      </w:pPr>
      <w:r>
        <w:t>V Evropě žije cca 740 milionů obyvatel = 10% světové populace – 3. nejlidnatější světadíl</w:t>
      </w:r>
    </w:p>
    <w:p w14:paraId="7FDD96B4" w14:textId="797F0834" w:rsidR="00A07181" w:rsidRDefault="00A07181" w:rsidP="00A07181">
      <w:pPr>
        <w:pStyle w:val="Odstavecseseznamem"/>
        <w:numPr>
          <w:ilvl w:val="0"/>
          <w:numId w:val="1"/>
        </w:numPr>
      </w:pPr>
      <w:r>
        <w:t>Nejlidnatější státy Evropy: Rusko (cca 110 milionů; Německo – více než 80 milionů; Velká Británie, Francie a Itálie – více než 60 milionů obyvatel)</w:t>
      </w:r>
    </w:p>
    <w:p w14:paraId="45B6E630" w14:textId="77777777" w:rsidR="00A07181" w:rsidRDefault="00A07181" w:rsidP="00A07181">
      <w:pPr>
        <w:pStyle w:val="Odstavecseseznamem"/>
        <w:numPr>
          <w:ilvl w:val="0"/>
          <w:numId w:val="1"/>
        </w:numPr>
      </w:pPr>
      <w:r>
        <w:t xml:space="preserve">Změnu počtu obyvatel ovlivnilo: </w:t>
      </w:r>
    </w:p>
    <w:p w14:paraId="196ABDBC" w14:textId="76D0142B" w:rsidR="00A07181" w:rsidRDefault="00A07181" w:rsidP="00A07181">
      <w:pPr>
        <w:pStyle w:val="Odstavecseseznamem"/>
        <w:numPr>
          <w:ilvl w:val="0"/>
          <w:numId w:val="2"/>
        </w:numPr>
      </w:pPr>
      <w:r>
        <w:t>vystěhovalectví v období hospodářské krize (1920) – do Severní Ameriky</w:t>
      </w:r>
    </w:p>
    <w:p w14:paraId="4695AB0E" w14:textId="410AFE6D" w:rsidR="00A07181" w:rsidRDefault="00A07181" w:rsidP="00A07181">
      <w:pPr>
        <w:pStyle w:val="Odstavecseseznamem"/>
        <w:numPr>
          <w:ilvl w:val="0"/>
          <w:numId w:val="2"/>
        </w:numPr>
      </w:pPr>
      <w:r>
        <w:t>migrace za lepším životem po I. a II. Světové válce</w:t>
      </w:r>
    </w:p>
    <w:p w14:paraId="5DCF7D3A" w14:textId="7294DEAF" w:rsidR="00A07181" w:rsidRDefault="00A07181" w:rsidP="00A07181">
      <w:pPr>
        <w:pStyle w:val="Odstavecseseznamem"/>
        <w:numPr>
          <w:ilvl w:val="0"/>
          <w:numId w:val="2"/>
        </w:numPr>
      </w:pPr>
      <w:r>
        <w:t>v současnosti migrační vlny z Afriky a Asie</w:t>
      </w:r>
    </w:p>
    <w:p w14:paraId="542FC16E" w14:textId="471C7B7E" w:rsidR="00A07181" w:rsidRDefault="00A07181" w:rsidP="00A07181"/>
    <w:p w14:paraId="2ABA6525" w14:textId="6D2B5D31" w:rsidR="00A07181" w:rsidRPr="00D276DE" w:rsidRDefault="00A07181" w:rsidP="00A07181">
      <w:pPr>
        <w:rPr>
          <w:color w:val="00B050"/>
        </w:rPr>
      </w:pPr>
      <w:r w:rsidRPr="00D276DE">
        <w:rPr>
          <w:b/>
          <w:bCs/>
          <w:color w:val="00B050"/>
        </w:rPr>
        <w:t>ROZMÍSTĚNÍ OBYVATEL</w:t>
      </w:r>
    </w:p>
    <w:p w14:paraId="33A31F81" w14:textId="2E8157C8" w:rsidR="00A07181" w:rsidRPr="00A07181" w:rsidRDefault="00A07181" w:rsidP="00A07181">
      <w:r w:rsidRPr="00D276DE">
        <w:rPr>
          <w:color w:val="0070C0"/>
          <w:u w:val="single"/>
        </w:rPr>
        <w:t>Hustota zalidnění</w:t>
      </w:r>
      <w:r>
        <w:t>: udává počet obyvatel na km</w:t>
      </w:r>
      <w:r w:rsidRPr="00A07181">
        <w:rPr>
          <w:vertAlign w:val="superscript"/>
        </w:rPr>
        <w:t>2</w:t>
      </w:r>
      <w:r>
        <w:t xml:space="preserve"> (průměr v Evropě je 72 ob/km</w:t>
      </w:r>
      <w:r w:rsidRPr="00A07181">
        <w:rPr>
          <w:vertAlign w:val="superscript"/>
        </w:rPr>
        <w:t>2</w:t>
      </w:r>
      <w:r>
        <w:t>)</w:t>
      </w:r>
      <w:r w:rsidR="00C20679">
        <w:t xml:space="preserve"> – 2. největší hustota na světě</w:t>
      </w:r>
    </w:p>
    <w:p w14:paraId="0BB39926" w14:textId="04070154" w:rsidR="00A07181" w:rsidRDefault="00A07181" w:rsidP="00A07181"/>
    <w:p w14:paraId="1A3A7AF3" w14:textId="77777777" w:rsidR="00C20679" w:rsidRDefault="00A07181" w:rsidP="00A07181">
      <w:pPr>
        <w:pStyle w:val="Odstavecseseznamem"/>
        <w:numPr>
          <w:ilvl w:val="0"/>
          <w:numId w:val="3"/>
        </w:numPr>
      </w:pPr>
      <w:r w:rsidRPr="00C20679">
        <w:rPr>
          <w:b/>
          <w:bCs/>
        </w:rPr>
        <w:t>hustě osídlené oblasti</w:t>
      </w:r>
      <w:r>
        <w:t xml:space="preserve"> </w:t>
      </w:r>
    </w:p>
    <w:p w14:paraId="3AEE499D" w14:textId="78E87988" w:rsidR="00C20679" w:rsidRDefault="00A07181" w:rsidP="00C20679">
      <w:pPr>
        <w:pStyle w:val="Odstavecseseznamem"/>
      </w:pPr>
      <w:r>
        <w:t xml:space="preserve">– </w:t>
      </w:r>
      <w:r w:rsidRPr="00C20679">
        <w:rPr>
          <w:b/>
          <w:bCs/>
          <w:i/>
          <w:iCs/>
        </w:rPr>
        <w:t>atraktivní země</w:t>
      </w:r>
      <w:r>
        <w:t xml:space="preserve"> (Španělsko, Rakousko)</w:t>
      </w:r>
    </w:p>
    <w:p w14:paraId="098B4ED2" w14:textId="77777777" w:rsidR="00C20679" w:rsidRDefault="00C20679" w:rsidP="00C20679">
      <w:pPr>
        <w:pStyle w:val="Odstavecseseznamem"/>
      </w:pPr>
    </w:p>
    <w:p w14:paraId="1BCAA1AD" w14:textId="79B0AD9C" w:rsidR="00A07181" w:rsidRDefault="00C20679" w:rsidP="00C20679">
      <w:pPr>
        <w:pStyle w:val="Odstavecseseznamem"/>
      </w:pPr>
      <w:r>
        <w:t>-</w:t>
      </w:r>
      <w:r w:rsidR="00A07181">
        <w:t xml:space="preserve"> </w:t>
      </w:r>
      <w:r w:rsidR="00A07181" w:rsidRPr="00C20679">
        <w:rPr>
          <w:b/>
          <w:bCs/>
          <w:i/>
          <w:iCs/>
        </w:rPr>
        <w:t>západní a střední Evropa</w:t>
      </w:r>
      <w:r w:rsidR="00A07181">
        <w:t xml:space="preserve"> = v oblasti „Modrého banánu“</w:t>
      </w:r>
      <w:r>
        <w:t xml:space="preserve"> – průmyslový pás od Anglie, přes Benelux, Francii, Německo, Švýcarsko až na sever Itálie = cca 110 milionů obyvatel</w:t>
      </w:r>
    </w:p>
    <w:p w14:paraId="2D503405" w14:textId="405B7DDE" w:rsidR="00C20679" w:rsidRDefault="00C20679" w:rsidP="00C20679">
      <w:pPr>
        <w:ind w:firstLine="708"/>
      </w:pPr>
      <w:r w:rsidRPr="00C20679">
        <w:rPr>
          <w:b/>
          <w:bCs/>
        </w:rPr>
        <w:t>aglomerace</w:t>
      </w:r>
      <w:r>
        <w:t xml:space="preserve"> – lidé jsou soustředěni v aglomeracích = seskupení vzájemně blízkých sídel</w:t>
      </w:r>
    </w:p>
    <w:p w14:paraId="10F8949A" w14:textId="77777777" w:rsidR="00C20679" w:rsidRPr="00C20679" w:rsidRDefault="00C20679" w:rsidP="00C20679">
      <w:pPr>
        <w:ind w:firstLine="708"/>
      </w:pPr>
    </w:p>
    <w:p w14:paraId="0FC6D6BD" w14:textId="124FBB17" w:rsidR="00C20679" w:rsidRDefault="00C20679" w:rsidP="00C20679">
      <w:pPr>
        <w:pStyle w:val="Odstavecseseznamem"/>
        <w:numPr>
          <w:ilvl w:val="0"/>
          <w:numId w:val="4"/>
        </w:numPr>
        <w:ind w:left="851" w:hanging="131"/>
        <w:rPr>
          <w:b/>
          <w:bCs/>
          <w:i/>
          <w:iCs/>
        </w:rPr>
      </w:pPr>
      <w:r w:rsidRPr="00C20679">
        <w:rPr>
          <w:b/>
          <w:bCs/>
          <w:i/>
          <w:iCs/>
        </w:rPr>
        <w:t>podél řek a v</w:t>
      </w:r>
      <w:r>
        <w:rPr>
          <w:b/>
          <w:bCs/>
          <w:i/>
          <w:iCs/>
        </w:rPr>
        <w:t> </w:t>
      </w:r>
      <w:r w:rsidRPr="00C20679">
        <w:rPr>
          <w:b/>
          <w:bCs/>
          <w:i/>
          <w:iCs/>
        </w:rPr>
        <w:t>nížinách</w:t>
      </w:r>
      <w:r>
        <w:t xml:space="preserve"> – Porýní, Pádská n., přístavy</w:t>
      </w:r>
    </w:p>
    <w:p w14:paraId="17C90F4A" w14:textId="175C4AA0" w:rsidR="00C20679" w:rsidRDefault="00C20679" w:rsidP="00C20679">
      <w:pPr>
        <w:rPr>
          <w:b/>
          <w:bCs/>
          <w:i/>
          <w:iCs/>
        </w:rPr>
      </w:pPr>
    </w:p>
    <w:p w14:paraId="689260AC" w14:textId="331171B0" w:rsidR="00C20679" w:rsidRPr="00C20679" w:rsidRDefault="00C20679" w:rsidP="00C20679">
      <w:pPr>
        <w:pStyle w:val="Odstavecseseznamem"/>
        <w:numPr>
          <w:ilvl w:val="0"/>
          <w:numId w:val="3"/>
        </w:numPr>
      </w:pPr>
      <w:r>
        <w:rPr>
          <w:b/>
          <w:bCs/>
        </w:rPr>
        <w:t>řídce osídlené oblasti</w:t>
      </w:r>
    </w:p>
    <w:p w14:paraId="3F433D90" w14:textId="0552A3D2" w:rsidR="00C20679" w:rsidRPr="00C20679" w:rsidRDefault="00C20679" w:rsidP="00C20679">
      <w:pPr>
        <w:pStyle w:val="Odstavecseseznamem"/>
        <w:numPr>
          <w:ilvl w:val="0"/>
          <w:numId w:val="4"/>
        </w:numPr>
        <w:rPr>
          <w:i/>
          <w:iCs/>
        </w:rPr>
      </w:pPr>
      <w:r w:rsidRPr="00C20679">
        <w:rPr>
          <w:b/>
          <w:bCs/>
          <w:i/>
          <w:iCs/>
        </w:rPr>
        <w:t>oblasti s nepříznivými přírodními podmínkami</w:t>
      </w:r>
      <w:r>
        <w:t xml:space="preserve"> – sever a východ Evropy, hory, Island, Skandinávie</w:t>
      </w:r>
    </w:p>
    <w:p w14:paraId="4E636563" w14:textId="56356659" w:rsidR="00C20679" w:rsidRPr="00C20679" w:rsidRDefault="00C20679" w:rsidP="00C20679"/>
    <w:p w14:paraId="59A446F0" w14:textId="0E424087" w:rsidR="00C20679" w:rsidRDefault="00C20679" w:rsidP="00C20679">
      <w:pPr>
        <w:rPr>
          <w:b/>
          <w:bCs/>
          <w:i/>
          <w:iCs/>
        </w:rPr>
      </w:pPr>
    </w:p>
    <w:p w14:paraId="1EB23EA1" w14:textId="31EEF069" w:rsidR="00C20679" w:rsidRDefault="00C20679" w:rsidP="00C20679">
      <w:r w:rsidRPr="00D276DE">
        <w:rPr>
          <w:color w:val="0070C0"/>
          <w:u w:val="single"/>
        </w:rPr>
        <w:t>Urbanizace</w:t>
      </w:r>
      <w:r>
        <w:t>: podíl městského obyvatelstva = v Evropě žije ve městech 70% obyvatel – počet obyvatel ve městech vzrostl od 20. století v souvislosti s rozvojem průmyslu</w:t>
      </w:r>
    </w:p>
    <w:p w14:paraId="3689CAA1" w14:textId="707177E6" w:rsidR="00C20679" w:rsidRDefault="00C20679" w:rsidP="00C20679">
      <w:pPr>
        <w:pStyle w:val="Odstavecseseznamem"/>
        <w:numPr>
          <w:ilvl w:val="0"/>
          <w:numId w:val="4"/>
        </w:numPr>
      </w:pPr>
      <w:r>
        <w:t>nízký podíl městského obyvatelstva mají Lichtenštejnsko (</w:t>
      </w:r>
      <w:proofErr w:type="gramStart"/>
      <w:r>
        <w:t>14%</w:t>
      </w:r>
      <w:proofErr w:type="gramEnd"/>
      <w:r>
        <w:t>) a Bosna a Hercegovina (44%)</w:t>
      </w:r>
    </w:p>
    <w:p w14:paraId="4C11A02D" w14:textId="5B3AAE4B" w:rsidR="00D276DE" w:rsidRPr="00D276DE" w:rsidRDefault="00D276DE" w:rsidP="00D276DE"/>
    <w:p w14:paraId="753D6C2D" w14:textId="506C00FE" w:rsidR="00D276DE" w:rsidRPr="00D276DE" w:rsidRDefault="00D276DE" w:rsidP="00D276DE"/>
    <w:p w14:paraId="5A6EF9D9" w14:textId="6E73D10C" w:rsidR="00D276DE" w:rsidRDefault="00D276DE" w:rsidP="00D276DE"/>
    <w:p w14:paraId="6C27A3AE" w14:textId="47BF40D3" w:rsidR="00D276DE" w:rsidRDefault="00D276DE" w:rsidP="00D276DE"/>
    <w:p w14:paraId="0F26A6D0" w14:textId="2DC003E6" w:rsidR="00D276DE" w:rsidRPr="00D276DE" w:rsidRDefault="00D276DE" w:rsidP="00D276DE">
      <w:pPr>
        <w:rPr>
          <w:b/>
          <w:bCs/>
          <w:color w:val="00B050"/>
        </w:rPr>
      </w:pPr>
      <w:r w:rsidRPr="00D276DE">
        <w:rPr>
          <w:b/>
          <w:bCs/>
          <w:color w:val="00B050"/>
        </w:rPr>
        <w:t>PŘIROZENÝ POHYB OBYVATELSTVA (PŘIROZENÁ MĚNA)</w:t>
      </w:r>
    </w:p>
    <w:p w14:paraId="3A625A62" w14:textId="6A32348C" w:rsidR="00D276DE" w:rsidRDefault="00D276DE" w:rsidP="00D276DE"/>
    <w:p w14:paraId="2316BB9F" w14:textId="77B42471" w:rsidR="00D276DE" w:rsidRDefault="00D276DE" w:rsidP="00D276DE">
      <w:r>
        <w:t>= změna počtu obyvatel přirozenou cestou</w:t>
      </w:r>
    </w:p>
    <w:p w14:paraId="54E70BCB" w14:textId="4CA2B903" w:rsidR="00D276DE" w:rsidRPr="00D276DE" w:rsidRDefault="00D276DE" w:rsidP="00D276DE">
      <w:pPr>
        <w:pStyle w:val="Odstavecseseznamem"/>
        <w:numPr>
          <w:ilvl w:val="0"/>
          <w:numId w:val="5"/>
        </w:numPr>
        <w:rPr>
          <w:b/>
          <w:bCs/>
          <w:color w:val="0070C0"/>
        </w:rPr>
      </w:pPr>
      <w:r w:rsidRPr="00D276DE">
        <w:rPr>
          <w:b/>
          <w:bCs/>
          <w:color w:val="0070C0"/>
        </w:rPr>
        <w:t>PO</w:t>
      </w:r>
      <w:r>
        <w:rPr>
          <w:b/>
          <w:bCs/>
          <w:color w:val="0070C0"/>
        </w:rPr>
        <w:t>RODNOST</w:t>
      </w:r>
      <w:r>
        <w:rPr>
          <w:color w:val="0070C0"/>
        </w:rPr>
        <w:t xml:space="preserve"> </w:t>
      </w:r>
      <w:r>
        <w:t>(natalita) = počet narozených dětí za rok = v Evropě je nízká porodnost</w:t>
      </w:r>
    </w:p>
    <w:p w14:paraId="19A08754" w14:textId="2D72866F" w:rsidR="00D276DE" w:rsidRPr="00D276DE" w:rsidRDefault="00D276DE" w:rsidP="00D276DE">
      <w:pPr>
        <w:pStyle w:val="Odstavecseseznamem"/>
        <w:numPr>
          <w:ilvl w:val="0"/>
          <w:numId w:val="5"/>
        </w:numPr>
        <w:rPr>
          <w:b/>
          <w:bCs/>
          <w:color w:val="0070C0"/>
        </w:rPr>
      </w:pPr>
      <w:r>
        <w:rPr>
          <w:b/>
          <w:bCs/>
          <w:color w:val="0070C0"/>
        </w:rPr>
        <w:t>ÚMRTNOST</w:t>
      </w:r>
      <w:r>
        <w:rPr>
          <w:color w:val="0070C0"/>
        </w:rPr>
        <w:t xml:space="preserve"> </w:t>
      </w:r>
      <w:r w:rsidRPr="00D276DE">
        <w:t>(</w:t>
      </w:r>
      <w:r>
        <w:t>mortalita) = počet zemřelých za rok</w:t>
      </w:r>
    </w:p>
    <w:p w14:paraId="1D9C18A2" w14:textId="75800AA8" w:rsidR="00D276DE" w:rsidRPr="00D276DE" w:rsidRDefault="00D276DE" w:rsidP="00D276DE">
      <w:pPr>
        <w:pStyle w:val="Odstavecseseznamem"/>
        <w:numPr>
          <w:ilvl w:val="0"/>
          <w:numId w:val="5"/>
        </w:numPr>
        <w:rPr>
          <w:b/>
          <w:bCs/>
          <w:color w:val="0070C0"/>
        </w:rPr>
      </w:pPr>
      <w:r>
        <w:rPr>
          <w:b/>
          <w:bCs/>
          <w:color w:val="0070C0"/>
        </w:rPr>
        <w:t>PŘIROZENÝ PŘÍRŮSTEK</w:t>
      </w:r>
      <w:r>
        <w:t xml:space="preserve"> = rozdíl mezi porodností a úmrtností</w:t>
      </w:r>
    </w:p>
    <w:p w14:paraId="4C25BC93" w14:textId="6F207D95" w:rsidR="00D276DE" w:rsidRDefault="00D276DE" w:rsidP="00D276DE">
      <w:pPr>
        <w:pStyle w:val="Odstavecseseznamem"/>
      </w:pPr>
      <w:r>
        <w:t>Kladný výsledek – obyvatel přibývá</w:t>
      </w:r>
    </w:p>
    <w:p w14:paraId="4C7EA4A4" w14:textId="04DC24C9" w:rsidR="00D276DE" w:rsidRDefault="00D276DE" w:rsidP="00D276DE">
      <w:pPr>
        <w:pStyle w:val="Odstavecseseznamem"/>
      </w:pPr>
      <w:r>
        <w:t>Záporný výsledek – obyvatel ubývá, obyvatelstvo stárne a jsou zvýšené náklady na důchody a zdravotní péči</w:t>
      </w:r>
    </w:p>
    <w:p w14:paraId="76DEBBDB" w14:textId="59D9B811" w:rsidR="00D276DE" w:rsidRDefault="00D276DE" w:rsidP="00D276DE"/>
    <w:p w14:paraId="10775997" w14:textId="05D6DFEF" w:rsidR="00D276DE" w:rsidRDefault="00D276DE" w:rsidP="00D276DE">
      <w:pPr>
        <w:ind w:left="708"/>
      </w:pPr>
      <w:r>
        <w:t>Přirozený přírůstek v Evropě se snižuje mezi původními obyvateli, ale díky přistěhovalcům se zvyšuje hlavně v západní Evropě.</w:t>
      </w:r>
    </w:p>
    <w:p w14:paraId="1F599371" w14:textId="4A7A11B2" w:rsidR="00D276DE" w:rsidRPr="00D276DE" w:rsidRDefault="00D276DE" w:rsidP="00D276DE"/>
    <w:p w14:paraId="4805A39E" w14:textId="69DCEF96" w:rsidR="00D276DE" w:rsidRDefault="00D276DE" w:rsidP="00EF15DF">
      <w:pPr>
        <w:ind w:left="705"/>
      </w:pPr>
      <w:r>
        <w:t>Porodnost a úmrtnost ovlivňuje věková struktura obyvatelstva, úroveň zdravotní péče, náboženské vyzn</w:t>
      </w:r>
      <w:r w:rsidR="00EF15DF">
        <w:t>á</w:t>
      </w:r>
      <w:r>
        <w:t>ní,</w:t>
      </w:r>
      <w:r w:rsidR="00EF15DF">
        <w:t xml:space="preserve"> podíl městského obyvatelstva, hospodářský vývoj a politické poměry</w:t>
      </w:r>
    </w:p>
    <w:p w14:paraId="5732C12A" w14:textId="77777777" w:rsidR="00EF15DF" w:rsidRDefault="00EF15DF" w:rsidP="00D276DE">
      <w:pPr>
        <w:rPr>
          <w:b/>
          <w:bCs/>
          <w:color w:val="FF0000"/>
        </w:rPr>
      </w:pPr>
    </w:p>
    <w:p w14:paraId="37C40957" w14:textId="089BAC6F" w:rsidR="00D276DE" w:rsidRPr="00D276DE" w:rsidRDefault="00D276DE" w:rsidP="00D276DE">
      <w:r>
        <w:rPr>
          <w:b/>
          <w:bCs/>
          <w:color w:val="FF0000"/>
        </w:rPr>
        <w:t>KOJENECKÁ ÚMRTNOST</w:t>
      </w:r>
      <w:r>
        <w:t xml:space="preserve"> = úmrtnost dětí do jednoho roku věku, která je ovlivněna úrovní zdravotní péče</w:t>
      </w:r>
    </w:p>
    <w:sectPr w:rsidR="00D276DE" w:rsidRPr="00D276DE" w:rsidSect="007B5D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3D6F"/>
    <w:multiLevelType w:val="hybridMultilevel"/>
    <w:tmpl w:val="DBDAF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2981"/>
    <w:multiLevelType w:val="hybridMultilevel"/>
    <w:tmpl w:val="E84A0534"/>
    <w:lvl w:ilvl="0" w:tplc="0270D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5111C8"/>
    <w:multiLevelType w:val="hybridMultilevel"/>
    <w:tmpl w:val="60A40036"/>
    <w:lvl w:ilvl="0" w:tplc="E4320E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3B4D35"/>
    <w:multiLevelType w:val="hybridMultilevel"/>
    <w:tmpl w:val="44E68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11180"/>
    <w:multiLevelType w:val="hybridMultilevel"/>
    <w:tmpl w:val="3558F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EA"/>
    <w:rsid w:val="004845F4"/>
    <w:rsid w:val="00491A37"/>
    <w:rsid w:val="005C1F7C"/>
    <w:rsid w:val="00676D74"/>
    <w:rsid w:val="007B5DEA"/>
    <w:rsid w:val="007C58D1"/>
    <w:rsid w:val="007D16A2"/>
    <w:rsid w:val="00A07181"/>
    <w:rsid w:val="00A60AAA"/>
    <w:rsid w:val="00B84722"/>
    <w:rsid w:val="00C20679"/>
    <w:rsid w:val="00CE2C4D"/>
    <w:rsid w:val="00D276DE"/>
    <w:rsid w:val="00DF1A33"/>
    <w:rsid w:val="00EF15DF"/>
    <w:rsid w:val="00FC64CD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09ECB"/>
  <w15:chartTrackingRefBased/>
  <w15:docId w15:val="{C2DED72C-7142-4DEF-90D4-F542D94B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BUDE EVROPANŮ UBÝVAT</vt:lpstr>
    </vt:vector>
  </TitlesOfParts>
  <Company>ZŠ SEVER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BUDE EVROPANŮ UBÝVAT</dc:title>
  <dc:subject/>
  <dc:creator>nenaro</dc:creator>
  <cp:keywords/>
  <dc:description/>
  <cp:lastModifiedBy>Romana Nenáhlová</cp:lastModifiedBy>
  <cp:revision>2</cp:revision>
  <dcterms:created xsi:type="dcterms:W3CDTF">2023-01-03T14:38:00Z</dcterms:created>
  <dcterms:modified xsi:type="dcterms:W3CDTF">2023-01-03T14:38:00Z</dcterms:modified>
</cp:coreProperties>
</file>